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  <w:gridCol w:w="4643"/>
      </w:tblGrid>
      <w:tr w:rsidR="00722E01" w:rsidRPr="00A42444" w:rsidTr="00722E01">
        <w:tc>
          <w:tcPr>
            <w:tcW w:w="4928" w:type="dxa"/>
          </w:tcPr>
          <w:p w:rsidR="00722E01" w:rsidRPr="00A42444" w:rsidRDefault="00722E01" w:rsidP="00722E01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722E01" w:rsidRPr="008F1F97" w:rsidRDefault="00722E01" w:rsidP="00722E01">
            <w:pPr>
              <w:jc w:val="left"/>
              <w:rPr>
                <w:rFonts w:cs="Times New Roman"/>
                <w:szCs w:val="28"/>
              </w:rPr>
            </w:pPr>
            <w:r w:rsidRPr="008F1F97">
              <w:rPr>
                <w:rFonts w:cs="Times New Roman"/>
                <w:szCs w:val="28"/>
              </w:rPr>
              <w:t xml:space="preserve">УТВЕРЖДАЮ </w:t>
            </w:r>
          </w:p>
          <w:p w:rsidR="00722E01" w:rsidRDefault="00722E01" w:rsidP="00722E0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АНО «Мой бизнес»</w:t>
            </w:r>
          </w:p>
          <w:p w:rsidR="00722E01" w:rsidRDefault="00722E01" w:rsidP="00722E01">
            <w:pPr>
              <w:jc w:val="lef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Д.С. Серебрякова </w:t>
            </w:r>
          </w:p>
          <w:p w:rsidR="00722E01" w:rsidRDefault="00722E01" w:rsidP="00722E01">
            <w:pPr>
              <w:jc w:val="left"/>
              <w:rPr>
                <w:rFonts w:cs="Times New Roman"/>
                <w:szCs w:val="28"/>
              </w:rPr>
            </w:pPr>
          </w:p>
          <w:p w:rsidR="00722E01" w:rsidRPr="00FA7437" w:rsidRDefault="00722E01" w:rsidP="00722E01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  <w:r>
              <w:rPr>
                <w:rFonts w:cs="Times New Roman"/>
                <w:szCs w:val="28"/>
              </w:rPr>
              <w:t>«23» мая 2022 года</w:t>
            </w:r>
          </w:p>
        </w:tc>
        <w:tc>
          <w:tcPr>
            <w:tcW w:w="4643" w:type="dxa"/>
          </w:tcPr>
          <w:p w:rsidR="00722E01" w:rsidRPr="00A42444" w:rsidRDefault="00722E01" w:rsidP="00722E01">
            <w:pPr>
              <w:jc w:val="left"/>
              <w:rPr>
                <w:color w:val="000000" w:themeColor="text1"/>
              </w:rPr>
            </w:pPr>
          </w:p>
        </w:tc>
      </w:tr>
    </w:tbl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</w:p>
    <w:p w:rsidR="0024164B" w:rsidRPr="00A42444" w:rsidRDefault="0024164B" w:rsidP="005D1FCD">
      <w:pPr>
        <w:rPr>
          <w:color w:val="000000" w:themeColor="text1"/>
        </w:rPr>
      </w:pPr>
    </w:p>
    <w:p w:rsidR="00F24FF4" w:rsidRPr="00A42444" w:rsidRDefault="00F24FF4" w:rsidP="005D1FCD">
      <w:pPr>
        <w:rPr>
          <w:color w:val="000000" w:themeColor="text1"/>
        </w:rPr>
      </w:pPr>
    </w:p>
    <w:p w:rsidR="00722E01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</w:t>
      </w:r>
    </w:p>
    <w:p w:rsidR="005D1FCD" w:rsidRDefault="005D1FCD" w:rsidP="00722E01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722E01" w:rsidRPr="00AB781F" w:rsidRDefault="00722E01" w:rsidP="00722E01">
      <w:pPr>
        <w:rPr>
          <w:b/>
          <w:color w:val="000000" w:themeColor="text1"/>
        </w:rPr>
      </w:pPr>
      <w:r>
        <w:rPr>
          <w:b/>
          <w:color w:val="000000" w:themeColor="text1"/>
        </w:rPr>
        <w:t>В АНО «МОЙ БИЗНЕС»</w:t>
      </w:r>
    </w:p>
    <w:p w:rsidR="005D1FCD" w:rsidRPr="00A42444" w:rsidRDefault="005D1FCD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722E01">
        <w:t>Автономной некоммерческой организации «Агентство развития предпринимательства Вологодской области «Мой бизнес» (АНО «Мой бизнес»), далее – Организация,</w:t>
      </w:r>
      <w:r w:rsidRPr="00A42444">
        <w:rPr>
          <w:color w:val="000000" w:themeColor="text1"/>
        </w:rPr>
        <w:t xml:space="preserve"> и других локальных актов </w:t>
      </w:r>
      <w:r w:rsidR="00722E01">
        <w:rPr>
          <w:color w:val="000000" w:themeColor="text1"/>
        </w:rPr>
        <w:t>Организации</w:t>
      </w:r>
      <w:r w:rsidRPr="00A42444">
        <w:rPr>
          <w:color w:val="000000" w:themeColor="text1"/>
        </w:rPr>
        <w:t>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>работодателя</w:t>
      </w:r>
      <w:r w:rsidR="00722E01">
        <w:rPr>
          <w:color w:val="000000" w:themeColor="text1"/>
        </w:rPr>
        <w:t xml:space="preserve"> – директора Организации</w:t>
      </w:r>
      <w:r w:rsidRPr="00A42444">
        <w:rPr>
          <w:i/>
          <w:color w:val="000000" w:themeColor="text1"/>
        </w:rPr>
        <w:t xml:space="preserve">,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722E01">
        <w:rPr>
          <w:color w:val="000000" w:themeColor="text1"/>
        </w:rPr>
        <w:t>Организации</w:t>
      </w:r>
      <w:r w:rsidR="00752C2C">
        <w:rPr>
          <w:color w:val="000000" w:themeColor="text1"/>
        </w:rPr>
        <w:t xml:space="preserve">. </w:t>
      </w:r>
    </w:p>
    <w:p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722E01">
        <w:rPr>
          <w:color w:val="000000" w:themeColor="text1"/>
        </w:rPr>
        <w:t>Организации</w:t>
      </w:r>
      <w:r w:rsidRPr="00A42444">
        <w:rPr>
          <w:color w:val="000000" w:themeColor="text1"/>
        </w:rPr>
        <w:t xml:space="preserve">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 xml:space="preserve">работника </w:t>
      </w:r>
      <w:r w:rsidR="00722E01" w:rsidRPr="00722E01">
        <w:rPr>
          <w:b/>
          <w:color w:val="000000" w:themeColor="text1"/>
        </w:rPr>
        <w:t>Организации</w:t>
      </w:r>
      <w:r w:rsidR="002704C5" w:rsidRPr="00722E01">
        <w:rPr>
          <w:b/>
          <w:color w:val="000000" w:themeColor="text1"/>
        </w:rPr>
        <w:t xml:space="preserve"> </w:t>
      </w:r>
      <w:r w:rsidR="002704C5" w:rsidRPr="00A42444">
        <w:rPr>
          <w:b/>
          <w:color w:val="000000" w:themeColor="text1"/>
        </w:rPr>
        <w:t>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</w:t>
      </w:r>
      <w:r w:rsidR="00722E01" w:rsidRPr="00722E01">
        <w:rPr>
          <w:color w:val="000000" w:themeColor="text1"/>
          <w:sz w:val="28"/>
          <w:szCs w:val="28"/>
        </w:rPr>
        <w:t>Организации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722E01" w:rsidRPr="00722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722E01" w:rsidRPr="00722E01">
        <w:rPr>
          <w:color w:val="000000" w:themeColor="text1"/>
          <w:sz w:val="28"/>
          <w:szCs w:val="28"/>
        </w:rPr>
        <w:t>Организации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722E01" w:rsidRPr="00722E01">
        <w:rPr>
          <w:color w:val="000000" w:themeColor="text1"/>
          <w:sz w:val="28"/>
          <w:szCs w:val="28"/>
        </w:rPr>
        <w:t>Организации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>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</w:t>
      </w:r>
      <w:r w:rsidR="00722E01" w:rsidRPr="00722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722E01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в Организации: специалист по экономической безопасности, а в случае его временного отсутствия – юрисконсульт.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A42444" w:rsidRDefault="000A204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CD19F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Организации</w:t>
      </w:r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лично регистрация производится незамедлительно в его присутствии.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подписью принимающего лица выдается работнику </w:t>
      </w:r>
      <w:r w:rsidR="00722E01" w:rsidRPr="00722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для подтверждения принятия и регистрации сведений.</w:t>
      </w:r>
    </w:p>
    <w:p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722E0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 Организации (</w:t>
      </w:r>
      <w:r w:rsidR="00722E01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специалист по экономической безопасности, а в случае его временного отсутствия – юрисконсульт</w:t>
      </w:r>
      <w:r w:rsidR="00722E0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) </w:t>
      </w:r>
      <w:r w:rsidR="006C2B7A" w:rsidRPr="00A424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CD19F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Организации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0A2049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</w:t>
      </w:r>
      <w:r w:rsidR="00722E01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специалистом по экономической безопасности, а в случае его временного отсутствия – юрисконсультом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хранится </w:t>
      </w:r>
      <w:r w:rsidR="00722E01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 специалиста по экономической безопасности 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в месте, защищенном от несанкционированного доступа.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B92C5F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Организации (специалистом по экономической безопасности)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 xml:space="preserve">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</w:t>
      </w:r>
      <w:r w:rsidR="00957420" w:rsidRPr="00BF61E0">
        <w:rPr>
          <w:rFonts w:eastAsia="Times New Roman" w:cs="Calibri"/>
          <w:color w:val="000000" w:themeColor="text1"/>
          <w:sz w:val="28"/>
          <w:szCs w:val="22"/>
        </w:rPr>
        <w:t>его копию в один из вышеуказанных органов.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E13472" w:rsidRPr="00A42444" w:rsidRDefault="00F258B0" w:rsidP="00BF61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BF61E0">
        <w:rPr>
          <w:rFonts w:eastAsia="Times New Roman" w:cs="Calibri"/>
          <w:color w:val="000000" w:themeColor="text1"/>
          <w:sz w:val="28"/>
          <w:szCs w:val="28"/>
        </w:rPr>
        <w:t>Организации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BF61E0">
        <w:rPr>
          <w:color w:val="000000" w:themeColor="text1"/>
          <w:sz w:val="28"/>
          <w:szCs w:val="28"/>
        </w:rPr>
        <w:t xml:space="preserve"> Департамент экономического развития Вологодской области.</w:t>
      </w:r>
    </w:p>
    <w:p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</w:t>
      </w:r>
      <w:r w:rsidR="00BF61E0">
        <w:rPr>
          <w:color w:val="000000" w:themeColor="text1"/>
          <w:szCs w:val="28"/>
        </w:rPr>
        <w:t>Организации</w:t>
      </w:r>
      <w:r w:rsidR="00E13472" w:rsidRPr="00A42444">
        <w:rPr>
          <w:color w:val="000000" w:themeColor="text1"/>
        </w:rPr>
        <w:t xml:space="preserve"> создает </w:t>
      </w:r>
      <w:r w:rsidR="00BF61E0">
        <w:rPr>
          <w:color w:val="000000" w:themeColor="text1"/>
        </w:rPr>
        <w:t>К</w:t>
      </w:r>
      <w:r w:rsidR="00E13472" w:rsidRPr="00A42444">
        <w:rPr>
          <w:color w:val="000000" w:themeColor="text1"/>
        </w:rPr>
        <w:t xml:space="preserve">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BF61E0">
        <w:rPr>
          <w:color w:val="000000" w:themeColor="text1"/>
          <w:szCs w:val="28"/>
        </w:rPr>
        <w:t>Организации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 xml:space="preserve">В состав Комиссии входят работодатель (или уполномоченное им лицо), работники </w:t>
      </w:r>
      <w:r w:rsidR="00BF61E0">
        <w:rPr>
          <w:color w:val="000000" w:themeColor="text1"/>
          <w:szCs w:val="28"/>
        </w:rPr>
        <w:t>Организации</w:t>
      </w:r>
      <w:r w:rsidRPr="00A42444">
        <w:rPr>
          <w:color w:val="000000" w:themeColor="text1"/>
        </w:rPr>
        <w:t xml:space="preserve">, в том числе по правовым вопросам, непосредственный руководитель работника, подавшего уведомление.  </w:t>
      </w:r>
      <w:r w:rsidR="00BF61E0">
        <w:rPr>
          <w:color w:val="000000" w:themeColor="text1"/>
        </w:rPr>
        <w:t xml:space="preserve">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BF61E0">
        <w:rPr>
          <w:color w:val="000000" w:themeColor="text1"/>
          <w:szCs w:val="28"/>
        </w:rPr>
        <w:t>Организации</w:t>
      </w:r>
      <w:r w:rsidR="00607078" w:rsidRPr="00A42444">
        <w:rPr>
          <w:color w:val="000000" w:themeColor="text1"/>
        </w:rPr>
        <w:t xml:space="preserve">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к руководителю </w:t>
      </w:r>
      <w:r w:rsidR="00BF61E0">
        <w:rPr>
          <w:rFonts w:eastAsia="Times New Roman" w:cs="Calibri"/>
          <w:color w:val="000000" w:themeColor="text1"/>
          <w:sz w:val="28"/>
          <w:szCs w:val="28"/>
        </w:rPr>
        <w:t>Организации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с письменным заявлением об освобождении его от участия в проведении данной проверки. </w:t>
      </w:r>
      <w:r w:rsidR="00BF61E0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пояснения работников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 иных лиц, имеющих отношение к фактам, содержащимся в уведомлении;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 xml:space="preserve">причины и условия, которые способствовали обращению лица к работнику </w:t>
      </w:r>
      <w:r w:rsidR="00BF61E0">
        <w:rPr>
          <w:color w:val="000000" w:themeColor="text1"/>
          <w:szCs w:val="28"/>
        </w:rPr>
        <w:t>Организации</w:t>
      </w:r>
      <w:r w:rsidRPr="00A42444">
        <w:rPr>
          <w:rFonts w:cs="Times New Roman"/>
          <w:color w:val="000000" w:themeColor="text1"/>
          <w:szCs w:val="28"/>
        </w:rPr>
        <w:t xml:space="preserve"> с целью склонения его к совершению коррупционных правонарушений;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 xml:space="preserve">действия (бездействие) работника </w:t>
      </w:r>
      <w:r w:rsidR="00BF61E0">
        <w:rPr>
          <w:color w:val="000000" w:themeColor="text1"/>
          <w:szCs w:val="28"/>
        </w:rPr>
        <w:t>Организации</w:t>
      </w:r>
      <w:r w:rsidRPr="00A42444">
        <w:rPr>
          <w:rFonts w:cs="Times New Roman"/>
          <w:color w:val="000000" w:themeColor="text1"/>
          <w:szCs w:val="28"/>
        </w:rPr>
        <w:t>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Комиссия направляет заключение руководителю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его принятия.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В случае наличия признаков склонения работника к совершению коррупционных правонарушений руководитель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локальные акты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заключении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BF61E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(специалист по </w:t>
      </w:r>
      <w:r w:rsidR="00BF61E0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 xml:space="preserve">экономической безопасности, а в период его временного отсутствия – юрисконсульт)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F403AF" w:rsidRPr="00A42444" w:rsidRDefault="00786306" w:rsidP="00BF61E0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2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="00BF61E0">
        <w:rPr>
          <w:rFonts w:ascii="Times New Roman" w:hAnsi="Times New Roman" w:cs="Times New Roman"/>
          <w:color w:val="000000" w:themeColor="text1"/>
          <w:sz w:val="28"/>
          <w:szCs w:val="28"/>
        </w:rPr>
        <w:t>у специалиста по экономической безопасности.</w:t>
      </w: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A42444" w:rsidRP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7A716C">
      <w:pPr>
        <w:jc w:val="both"/>
        <w:rPr>
          <w:color w:val="000000" w:themeColor="text1"/>
        </w:rPr>
      </w:pPr>
    </w:p>
    <w:p w:rsidR="00AC6041" w:rsidRDefault="00AC6041" w:rsidP="00F403AF">
      <w:pPr>
        <w:jc w:val="right"/>
        <w:rPr>
          <w:color w:val="000000" w:themeColor="text1"/>
        </w:rPr>
      </w:pPr>
    </w:p>
    <w:p w:rsidR="00AC6041" w:rsidRDefault="00AC6041" w:rsidP="00F403AF">
      <w:pPr>
        <w:jc w:val="right"/>
        <w:rPr>
          <w:color w:val="000000" w:themeColor="text1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AC6041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AC6041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>в АНО «Мой бизнес»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AC60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AC6041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837A72" w:rsidRPr="00A42444" w:rsidRDefault="00AC6041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>в АНО «Мой бизнес»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534CB5">
        <w:rPr>
          <w:b/>
          <w:color w:val="000000" w:themeColor="text1"/>
          <w:sz w:val="28"/>
          <w:szCs w:val="28"/>
        </w:rPr>
        <w:t>АНО «Мой бизнес»</w:t>
      </w:r>
      <w:r w:rsidRPr="00A42444">
        <w:rPr>
          <w:b/>
          <w:color w:val="000000" w:themeColor="text1"/>
          <w:sz w:val="28"/>
          <w:szCs w:val="28"/>
        </w:rPr>
        <w:t xml:space="preserve">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A2049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C3975"/>
    <w:rsid w:val="00435522"/>
    <w:rsid w:val="004C6A51"/>
    <w:rsid w:val="00533FA5"/>
    <w:rsid w:val="00534CB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22E01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A7CEF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C6041"/>
    <w:rsid w:val="00AF7646"/>
    <w:rsid w:val="00B92C5F"/>
    <w:rsid w:val="00BB3395"/>
    <w:rsid w:val="00BE3DCD"/>
    <w:rsid w:val="00BF61E0"/>
    <w:rsid w:val="00C26730"/>
    <w:rsid w:val="00C37239"/>
    <w:rsid w:val="00C841CB"/>
    <w:rsid w:val="00CA38AA"/>
    <w:rsid w:val="00CA5051"/>
    <w:rsid w:val="00CA7E78"/>
    <w:rsid w:val="00CD19F0"/>
    <w:rsid w:val="00CE5FC0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Анна Торопилова</cp:lastModifiedBy>
  <cp:revision>3</cp:revision>
  <cp:lastPrinted>2017-11-23T07:02:00Z</cp:lastPrinted>
  <dcterms:created xsi:type="dcterms:W3CDTF">2022-05-21T07:37:00Z</dcterms:created>
  <dcterms:modified xsi:type="dcterms:W3CDTF">2022-06-08T12:17:00Z</dcterms:modified>
</cp:coreProperties>
</file>